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E" w:rsidRPr="00B7231E" w:rsidRDefault="008A4FCC" w:rsidP="00B7231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b/>
          <w:sz w:val="28"/>
          <w:szCs w:val="28"/>
        </w:rPr>
        <w:t>ВИМОГИ</w:t>
      </w:r>
    </w:p>
    <w:p w:rsidR="008A4FCC" w:rsidRDefault="008A4FCC" w:rsidP="002F5DE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B4B">
        <w:rPr>
          <w:rFonts w:ascii="Times New Roman" w:hAnsi="Times New Roman" w:cs="Times New Roman"/>
          <w:b/>
          <w:sz w:val="28"/>
          <w:szCs w:val="28"/>
          <w:lang w:val="uk-UA"/>
        </w:rPr>
        <w:t>до містобудівного розрахунку з техніко-економічними показниками запланованого об’єкта будівництва</w:t>
      </w:r>
    </w:p>
    <w:p w:rsidR="002F5DEE" w:rsidRPr="00F41B4B" w:rsidRDefault="002F5DEE" w:rsidP="002F5DE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1. Містобудівний розрахунок - розрахунок щодо граничнодопустимих параметрів забудови, умови ув'язки архітектурно-планувального та об'ємно-просторового рішення, системи обслуговування, інженерних комунікацій, транспортного обслуговування та благоустрою з існуючою забудовою із дотриманням чинних нормативних документів.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2. Містобудівний розрахунок з техніко-економічними показниками запланованого об’єкта будівництва, який подається замовниками відповідно до п. 2.2 Порядку надання містобудівних умов та обмежень, має містити пояснюючу записку та графічну частину (ескіз намірів забудови). </w:t>
      </w:r>
    </w:p>
    <w:p w:rsidR="00F41B4B" w:rsidRPr="00F41B4B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4B">
        <w:rPr>
          <w:rFonts w:ascii="Times New Roman" w:hAnsi="Times New Roman" w:cs="Times New Roman"/>
          <w:sz w:val="28"/>
          <w:szCs w:val="28"/>
          <w:lang w:val="uk-UA"/>
        </w:rPr>
        <w:t xml:space="preserve">3. Містобудівний розрахунок підписує головний архітектор (інженер) проекту, затверджує замовник. </w:t>
      </w:r>
    </w:p>
    <w:p w:rsidR="008A4FCC" w:rsidRPr="00B7231E" w:rsidRDefault="00F017E5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A4FCC"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Містобудівний розрахунок надається у двох примірниках, зброшурованих у пластикові швидкозшивачі, один з яких повертається замовнику у складі містобудівних умов та обмежень, другий зберігається в відділі містобудування та архітектури 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 Склад пояснюючої записки: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5.1. загальні дані (назва об’єкта будівництва, адреса будівництва, правовстановлюючий документ на землю, площа земельної ділянки, надана у користування або передана у власність для будівництва об’єкта);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5.2. аналіз містобудівної ситуації;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5.3. характеристика земельної ділянки та існуючої забудови (при наявності);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5.4. характеристика намірів забудови (реконструкції, реставрації, розширення, технічного переоснащення об’єктів виробничого призначення, капітального ремонту будівель/споруд);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5.5. розрахунки умов та обмежень забудови земельної ділянки, порівняльний аналіз намірів забудови (реконструкції, реставрації, розширення, технічного переоснащення об’єктів виробничого призначення, капітального ремонту будівель/споруд), результати яких заносяться до Таблиці 1 (Дані містобудівного розрахунку) та відображаються у графічній частині;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5.6. пропозиції щодо забудови (реконструкції, реставрації, розширення, технічного переоснащення об’єктів виробничого призначення, капітального ремонту будівель/споруд), виконані на основі містобудівного розрахунку, занесені до Таблиці 2 (Техніко-економічні показники житлових будинків) або до Таблиці 3 (Техніко-економічні показники громадських будинків і споруд) та відображені у графічній частині, як ескіз намірів забудови земельної ділянки.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5.7. для обґрунтування необхідності </w:t>
      </w:r>
      <w:r w:rsidR="004254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доцільності будівництва чи реконструкції промислових об’єктів, їх технічної здійсненності та ефективності </w:t>
      </w:r>
      <w:r w:rsidR="00425496">
        <w:rPr>
          <w:rFonts w:ascii="Times New Roman" w:hAnsi="Times New Roman" w:cs="Times New Roman"/>
          <w:sz w:val="28"/>
          <w:szCs w:val="28"/>
          <w:lang w:val="uk-UA"/>
        </w:rPr>
        <w:t>інвестицій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доцільно розробити ТЕО інвестицій (Техніко-економічне обґрунтування інвестицій).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6. Описова частина намірів забудови має включати інформацію про: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благоустрій та озеленення земельної ділянки, малі архітектурні форми, елементи зовнішньої реклами;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використання підземного простору;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розміщення та використання вбудовано-прибудованих приміщень;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спорядження будівлі/споруди (колір, матеріали опорядження фасадів тощо);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>- облаштування під’їздів до будівлі/споруди, пішохідних переходів, місць паркування транспортних засобів;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- орієнтацію в’їздів (входів), вантажопотоків, місць паркування тощо – для об’єктів масового відвідування;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інженерними комунікаціями;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відомості про історико-культурну та архітектурну цінність об’єкта, можливості зміни функціонального призначення об’єкта, його окремих елементів чи об’ємно-планувального та/або об’ємно-просторового рішення в цілому (при намірі здійснити реконструкцію, реставрацію, розширення, технічне переоснащення об’єктів виробничого призначення, капітальний ремонт будівлі/споруди); </w:t>
      </w:r>
    </w:p>
    <w:p w:rsidR="004437F5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врахування потреб маломобільних груп населення та людей з обмеженими можливостями;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вимоги щодо забезпечення санітарного та епідемічного благополуччя населення, необхідності розроблення та проведення санітарно-гігієнічних та протиепідемічних заходів (забезпечення нормативної тривалості інсоляції, природної освітленості, можливість організації зони санітарної охорони джерел водопостачання, санітарно-захисної зони підприємств, зони обмеження забудови радіоелектронних засобів, санітарного розриву та санітарно-охоронної смуги, рівень впливу хімічних, фізичних і біологічних чинників, забруднення атмосферного повітря, води та ґрунту тощо) на підставі висновку державної санітарно-епідеміологічної служби про можливість відведення земельної ділянки, одержаного замовником відповідно до вимог земельного законодавства.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 Склад графічної частини: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7.1 Ситуаційний план (схема) щодо місцезнаходження земельної ділянки (у довільній формі); </w:t>
      </w:r>
    </w:p>
    <w:p w:rsidR="008A4FCC" w:rsidRP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7.2 Схема розташування об’єкта містобудування та земельної ділянки із нанесеними містобудівними обмеженнями М1:2 000;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7.3 Схема генерального плану, виконана на оновленому топографо-геодезичному зніманні М 1:500, з нанесеними обмеженнями, у паперовому та цифровому вигляді (формату </w:t>
      </w:r>
      <w:r w:rsidRPr="00B7231E">
        <w:rPr>
          <w:rFonts w:ascii="Times New Roman" w:hAnsi="Times New Roman" w:cs="Times New Roman"/>
          <w:sz w:val="28"/>
          <w:szCs w:val="28"/>
        </w:rPr>
        <w:t>DWG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231E">
        <w:rPr>
          <w:rFonts w:ascii="Times New Roman" w:hAnsi="Times New Roman" w:cs="Times New Roman"/>
          <w:sz w:val="28"/>
          <w:szCs w:val="28"/>
        </w:rPr>
        <w:t>DXF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) на електронному носії з прив’язкою до місцевої системи координат контурів земельної ділянки, проектованих об’єктів та з роздруківкою їх координат, виконаною організацією, що має відповідну ліцензію.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необхідно виконувати відповідно до: </w:t>
      </w:r>
    </w:p>
    <w:p w:rsidR="00B7231E" w:rsidRDefault="008A4FCC" w:rsidP="00B723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ДБН 360-92** «Планування і забудова міських і сільських поселень»; </w:t>
      </w:r>
    </w:p>
    <w:p w:rsidR="00B7231E" w:rsidRDefault="008A4FCC" w:rsidP="00B723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ДСТУ Б А.2.4-6-95 (ГОСТ 21.508-93) «Правила виконання робочої документації генеральних планів підприємств, споруд та житлово-цивільних об’єктів»; </w:t>
      </w:r>
    </w:p>
    <w:p w:rsidR="008A4FCC" w:rsidRPr="00B7231E" w:rsidRDefault="008A4FCC" w:rsidP="00B723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ДСТУ Б А.2.4-2-95 «Умовні графічні позначення і зображення, що застосовуються на кресленнях генеральних планів та споруд транспорту» та інших нормативно-правових актів.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>7.4 Фасади будівель та споруд з зазначенням висотних відміток, виконані у кольорі, з точною інформацією щодо опорядження фасадів у відомості опорядження фасадів.</w:t>
      </w: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:rsidR="00B7231E" w:rsidRPr="00F41B4B" w:rsidRDefault="008A4FCC" w:rsidP="002F5DEE">
      <w:pPr>
        <w:pStyle w:val="a3"/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B4B">
        <w:rPr>
          <w:rFonts w:ascii="Times New Roman" w:hAnsi="Times New Roman" w:cs="Times New Roman"/>
          <w:b/>
          <w:sz w:val="28"/>
          <w:szCs w:val="28"/>
          <w:lang w:val="uk-UA"/>
        </w:rPr>
        <w:t>Дані містобудівного розрахунку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127"/>
        <w:gridCol w:w="1842"/>
      </w:tblGrid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7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842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 в одиницях виміру</w:t>
            </w: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щільність забудови земельної ділянки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корисної площі на 1 гектар; осіб на 1 гектар (для житлових будинків)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Граничний відсоток забудови земельної ділянки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площа забудови земельної ділянки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озеленення земельної ділянки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благоустрою на земельній ділянці: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для житлової забудови необхідні розрахункові площі майданчиків (з врахуванням нормативних відстаней)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ігрові для дітей дошкільного та молодшого шкільного віку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для відпочинку дорослого населення </w:t>
            </w:r>
          </w:p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для занять фізкультурою - для господарських цілей </w:t>
            </w:r>
          </w:p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для вигулу собак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03" w:type="dxa"/>
          </w:tcPr>
          <w:p w:rsidR="00F41B4B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Майданчики для автостоянок </w:t>
            </w:r>
          </w:p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врахуванням нормативних відстаней)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машино-місце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Мінімальні відступи будівлі/споруди: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червоних ліній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ліній регулювання забудови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меж земельної ділянки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43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суміжних будівель/споруд/меж ділянок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інженерних мереж та комунікацій </w:t>
            </w:r>
          </w:p>
          <w:p w:rsidR="00F41B4B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існуючих зелених насаджень </w:t>
            </w:r>
          </w:p>
          <w:p w:rsidR="00B7231E" w:rsidRDefault="00F41B4B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об’єктів з іншими планувальними обмеженнями*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висота будівлі/споруди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поверховість будівлі/споруди</w:t>
            </w:r>
          </w:p>
        </w:tc>
        <w:tc>
          <w:tcPr>
            <w:tcW w:w="2127" w:type="dxa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31E" w:rsidTr="004437F5">
        <w:tc>
          <w:tcPr>
            <w:tcW w:w="675" w:type="dxa"/>
            <w:vAlign w:val="center"/>
          </w:tcPr>
          <w:p w:rsidR="00B7231E" w:rsidRDefault="00B7231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B7231E" w:rsidRDefault="00F41B4B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Черговість будівництва (при потребі)</w:t>
            </w:r>
          </w:p>
        </w:tc>
        <w:tc>
          <w:tcPr>
            <w:tcW w:w="2127" w:type="dxa"/>
            <w:vAlign w:val="center"/>
          </w:tcPr>
          <w:p w:rsidR="00B7231E" w:rsidRDefault="00F41B4B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черга(и)</w:t>
            </w:r>
          </w:p>
        </w:tc>
        <w:tc>
          <w:tcPr>
            <w:tcW w:w="1842" w:type="dxa"/>
          </w:tcPr>
          <w:p w:rsidR="00B7231E" w:rsidRDefault="00B7231E" w:rsidP="00B72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231E" w:rsidRDefault="00B7231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>* - зони санітарної охорони від підземних та відкритих джерел водопостачання, водозабірних та водоочисних споруд, водоводів, об’єктів оздоровчого призначення та інші;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 - зони охорони пам’яток культурної спадщини, археологічних територій, історичного ареалу населеного пункту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прибережні захисні смуги, водоохоронні зони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інші охоронні зони (навколо особливо цінних природних об’єктів, гідрометеорологічних станцій, уздовж ліній зв’язку, електропередачі, об’єктів транспорту тощо) </w:t>
      </w: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- зони особливого режиму використання земель навколо військових об’єктів Збройних Сил України та інших військових формувань. </w:t>
      </w:r>
    </w:p>
    <w:p w:rsidR="002F5DEE" w:rsidRDefault="002F5DE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2F5DE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Таблиця 2 </w:t>
      </w:r>
    </w:p>
    <w:p w:rsidR="00B7231E" w:rsidRPr="00A422E7" w:rsidRDefault="008A4FCC" w:rsidP="007004BE">
      <w:pPr>
        <w:pStyle w:val="a3"/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2E7">
        <w:rPr>
          <w:rFonts w:ascii="Times New Roman" w:hAnsi="Times New Roman" w:cs="Times New Roman"/>
          <w:b/>
          <w:sz w:val="28"/>
          <w:szCs w:val="28"/>
          <w:lang w:val="uk-UA"/>
        </w:rPr>
        <w:t>Техніко-економічні показники житлових будинків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127"/>
        <w:gridCol w:w="1842"/>
      </w:tblGrid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842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 в одиницях виміру</w:t>
            </w: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забудови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Поверховість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Умовна висота будинку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квартир у будинку, в тому числі:** </w:t>
            </w:r>
          </w:p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однокімнатних </w:t>
            </w:r>
          </w:p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двокімнатних і більше 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квартир у будинку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вбудованих нежитлових приміщень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Будівельний об’єм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42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5DEE" w:rsidRDefault="002F5DE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** для об’єктів реконструкції, реставрації, розширення, капітального ремонту існуючих будівель/споруд колонку 4 розділити на дві півколонки: </w:t>
      </w:r>
      <w:r w:rsidR="007004BE">
        <w:rPr>
          <w:rFonts w:ascii="Times New Roman" w:hAnsi="Times New Roman" w:cs="Times New Roman"/>
          <w:sz w:val="28"/>
          <w:szCs w:val="28"/>
          <w:lang w:val="uk-UA"/>
        </w:rPr>
        <w:t>4.1 – існуючі , 4.2 – проектні.</w:t>
      </w:r>
    </w:p>
    <w:p w:rsidR="007004BE" w:rsidRDefault="007004B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7004BE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Таблиця 3 </w:t>
      </w:r>
    </w:p>
    <w:p w:rsidR="00B7231E" w:rsidRPr="002F5DEE" w:rsidRDefault="008A4FCC" w:rsidP="007004BE">
      <w:pPr>
        <w:pStyle w:val="a3"/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DEE">
        <w:rPr>
          <w:rFonts w:ascii="Times New Roman" w:hAnsi="Times New Roman" w:cs="Times New Roman"/>
          <w:b/>
          <w:sz w:val="28"/>
          <w:szCs w:val="28"/>
          <w:lang w:val="uk-UA"/>
        </w:rPr>
        <w:t>Техніко-економічні показники громадських будівель і споруд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2127"/>
        <w:gridCol w:w="1666"/>
      </w:tblGrid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666" w:type="dxa"/>
            <w:vAlign w:val="center"/>
          </w:tcPr>
          <w:p w:rsidR="002F5DEE" w:rsidRDefault="002F5DEE" w:rsidP="004437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 в одиницях виміру</w:t>
            </w: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земельної ділянки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забудови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Поверховість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Умовна висота будівлі</w:t>
            </w:r>
          </w:p>
        </w:tc>
        <w:tc>
          <w:tcPr>
            <w:tcW w:w="2127" w:type="dxa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громадської будівлі**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Корисна площа громадської будівлі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Розрахункова площа громадської будівлі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F41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EE" w:rsidTr="00B31980">
        <w:tc>
          <w:tcPr>
            <w:tcW w:w="675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2F5DEE" w:rsidRDefault="002F5DEE" w:rsidP="004437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Будівельний об’єм</w:t>
            </w:r>
          </w:p>
        </w:tc>
        <w:tc>
          <w:tcPr>
            <w:tcW w:w="2127" w:type="dxa"/>
            <w:vAlign w:val="center"/>
          </w:tcPr>
          <w:p w:rsidR="002F5DEE" w:rsidRDefault="002F5DEE" w:rsidP="00443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66" w:type="dxa"/>
          </w:tcPr>
          <w:p w:rsidR="002F5DEE" w:rsidRDefault="002F5DEE" w:rsidP="004437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231E" w:rsidRDefault="00B7231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Default="008A4FCC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** для об’єктів реконструкції, реставрації, розширення, технічного переоснащення об’єктів виробничого призначення, капітального ремонту існуючих будівель/ споруд колонку </w:t>
      </w:r>
      <w:r w:rsidR="0044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44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>розділити</w:t>
      </w:r>
      <w:r w:rsidR="004437F5">
        <w:rPr>
          <w:rFonts w:ascii="Times New Roman" w:hAnsi="Times New Roman" w:cs="Times New Roman"/>
          <w:sz w:val="28"/>
          <w:szCs w:val="28"/>
          <w:lang w:val="uk-UA"/>
        </w:rPr>
        <w:t xml:space="preserve"> на дві півколонки: 4.1 існуючі</w:t>
      </w:r>
      <w:r w:rsidRPr="00B7231E">
        <w:rPr>
          <w:rFonts w:ascii="Times New Roman" w:hAnsi="Times New Roman" w:cs="Times New Roman"/>
          <w:sz w:val="28"/>
          <w:szCs w:val="28"/>
          <w:lang w:val="uk-UA"/>
        </w:rPr>
        <w:t xml:space="preserve">, 4.2 проектні </w:t>
      </w:r>
    </w:p>
    <w:p w:rsidR="00B7231E" w:rsidRDefault="00B7231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4BE" w:rsidRDefault="007004BE" w:rsidP="00B723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1E" w:rsidRPr="007004BE" w:rsidRDefault="008A4FCC" w:rsidP="0098079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містобудування</w:t>
      </w:r>
      <w:r w:rsidR="0098079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8079E" w:rsidRDefault="00B7231E" w:rsidP="0098079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архітектури </w:t>
      </w:r>
      <w:r w:rsidR="009807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житлово-комунального </w:t>
      </w:r>
    </w:p>
    <w:p w:rsidR="007004BE" w:rsidRPr="007004BE" w:rsidRDefault="0098079E" w:rsidP="0098079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господарства </w:t>
      </w:r>
      <w:r w:rsidR="007004BE" w:rsidRPr="007004BE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райдержадміністрації,</w:t>
      </w:r>
    </w:p>
    <w:p w:rsidR="00DA57C9" w:rsidRPr="007004BE" w:rsidRDefault="007004BE" w:rsidP="0098079E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 району</w:t>
      </w:r>
      <w:r w:rsidRPr="007004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F64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079E">
        <w:rPr>
          <w:rFonts w:ascii="Times New Roman" w:hAnsi="Times New Roman" w:cs="Times New Roman"/>
          <w:b/>
          <w:sz w:val="28"/>
          <w:szCs w:val="28"/>
          <w:lang w:val="uk-UA"/>
        </w:rPr>
        <w:t>О.Р. Дяченко</w:t>
      </w:r>
    </w:p>
    <w:sectPr w:rsidR="00DA57C9" w:rsidRPr="007004BE" w:rsidSect="00700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A4FCC"/>
    <w:rsid w:val="002F5DEE"/>
    <w:rsid w:val="00335B1E"/>
    <w:rsid w:val="00425496"/>
    <w:rsid w:val="004437F5"/>
    <w:rsid w:val="005F646D"/>
    <w:rsid w:val="00607716"/>
    <w:rsid w:val="0064210A"/>
    <w:rsid w:val="007004BE"/>
    <w:rsid w:val="008A4FCC"/>
    <w:rsid w:val="0098079E"/>
    <w:rsid w:val="00A422E7"/>
    <w:rsid w:val="00AA13DE"/>
    <w:rsid w:val="00B31980"/>
    <w:rsid w:val="00B7231E"/>
    <w:rsid w:val="00C80586"/>
    <w:rsid w:val="00DA57C9"/>
    <w:rsid w:val="00EF1CB1"/>
    <w:rsid w:val="00F017E5"/>
    <w:rsid w:val="00F21CA5"/>
    <w:rsid w:val="00F4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31E"/>
    <w:pPr>
      <w:spacing w:after="0" w:line="240" w:lineRule="auto"/>
    </w:pPr>
  </w:style>
  <w:style w:type="table" w:styleId="a4">
    <w:name w:val="Table Grid"/>
    <w:basedOn w:val="a1"/>
    <w:uiPriority w:val="59"/>
    <w:rsid w:val="00B7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dcterms:created xsi:type="dcterms:W3CDTF">2018-02-26T14:34:00Z</dcterms:created>
  <dcterms:modified xsi:type="dcterms:W3CDTF">2018-02-27T08:40:00Z</dcterms:modified>
</cp:coreProperties>
</file>